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75" w:rsidRPr="00395EC7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395EC7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395EC7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395EC7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395EC7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395EC7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395EC7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35136"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3B423D" w:rsidRPr="00395EC7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Цена реализации труда или цена реализации рабочей силы – это:</w:t>
      </w:r>
    </w:p>
    <w:p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оптовая цена</w:t>
      </w:r>
    </w:p>
    <w:p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цена без НДС</w:t>
      </w:r>
    </w:p>
    <w:p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заработная плата</w:t>
      </w:r>
    </w:p>
    <w:p w:rsidR="003B423D" w:rsidRPr="00395EC7" w:rsidRDefault="003B423D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Главной составной частью трудовых ресурсов является:</w:t>
      </w:r>
    </w:p>
    <w:p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работники</w:t>
      </w:r>
    </w:p>
    <w:p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предприниматели</w:t>
      </w:r>
    </w:p>
    <w:p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наемная рабочая сила</w:t>
      </w:r>
    </w:p>
    <w:p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все население страны</w:t>
      </w:r>
    </w:p>
    <w:p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Верно ли, что механизм рынка труда – это взаимодействие и согласование разнообразных интересов работодателей и трудоспособного населения, желающего работать по найму на основе информации, получаемой в виде изменений цены труда?</w:t>
      </w:r>
    </w:p>
    <w:p w:rsidR="00D35136" w:rsidRPr="00395EC7" w:rsidRDefault="00D35136" w:rsidP="00EA0270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</w:p>
    <w:p w:rsidR="00D35136" w:rsidRPr="00395EC7" w:rsidRDefault="00D35136" w:rsidP="00EA0270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Удовлетворенный спрос на рабочую силу определяется:</w:t>
      </w:r>
    </w:p>
    <w:p w:rsidR="00D35136" w:rsidRPr="00395EC7" w:rsidRDefault="00D35136" w:rsidP="00EA0270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ищущих работу в течение определенного периода времени</w:t>
      </w:r>
    </w:p>
    <w:p w:rsidR="00D35136" w:rsidRPr="00395EC7" w:rsidRDefault="00D35136" w:rsidP="00EA0270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нанятых предприятиями в течение определенного периода времени</w:t>
      </w:r>
    </w:p>
    <w:p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Внедрение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новой техники и технологии ведет …</w:t>
      </w:r>
    </w:p>
    <w:p w:rsidR="00D35136" w:rsidRPr="00395EC7" w:rsidRDefault="00D35136" w:rsidP="00EA0270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 значительному увеличению рабочей силы, вовлечению ее в сферу производства</w:t>
      </w:r>
    </w:p>
    <w:p w:rsidR="00D35136" w:rsidRPr="00395EC7" w:rsidRDefault="00D35136" w:rsidP="00EA0270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 значительному сокращению рабочей силы, высвобождению ее из сферы производства</w:t>
      </w:r>
    </w:p>
    <w:p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Основные производственные фонды на начало года, тыс. руб. = 55000</w:t>
      </w:r>
      <w:r w:rsidRPr="00395EC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конец года, тыс. руб. = 65000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Произведено продукции за год, тыс. руб. – 6000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Среднегодовая численность рабочих, чел. – 8000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Фондовооруженность = … .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0,1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0,75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7,5</w:t>
      </w:r>
    </w:p>
    <w:p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1,75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Эффективность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использования оборотных средств 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характеризуют:</w:t>
      </w:r>
    </w:p>
    <w:p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прибыль, рентабельность производства.</w:t>
      </w:r>
    </w:p>
    <w:p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уровень отдачи оборотных средств.</w:t>
      </w:r>
    </w:p>
    <w:p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коэффициент оборачиваемости, средняя продолжительность одного оборота оборотных средств.</w:t>
      </w:r>
    </w:p>
    <w:p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фондоотдача, фондоемкость продукции.</w:t>
      </w:r>
    </w:p>
    <w:p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фондовооруженность труда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Показатель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, характеризующий число оборотов, совершенных оборотными средствами за период, называется:</w:t>
      </w:r>
    </w:p>
    <w:p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продолжительность одного оборота;</w:t>
      </w:r>
    </w:p>
    <w:p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 оборотных средств;</w:t>
      </w:r>
    </w:p>
    <w:p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оборачиваемости;</w:t>
      </w:r>
    </w:p>
    <w:p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фондоемкость.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Полная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стоимость основных фондов на начало года – 80 тыс. руб.; полная стоимость основных фондов на конец года – 95; ведено в действие основных фондов за год – 23 тыс. руб.; выбыло основных фондов в течение года – 6. Коэффициент выбытия основных фондов составит (%):</w:t>
      </w:r>
    </w:p>
    <w:p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7,5;</w:t>
      </w:r>
    </w:p>
    <w:p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8,0;</w:t>
      </w:r>
    </w:p>
    <w:p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12,3.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Что не </w:t>
      </w: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относится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оборотным средствам: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топливо;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кредиторская задолженность;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тара и тарные материалы;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 xml:space="preserve"> расходы на освоение будущих видов продукции и новых технологических процессов;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незавершенное строительство;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расходы по подписке на периодические издания;</w:t>
      </w:r>
    </w:p>
    <w:p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запасные части для текущего ремонта;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Полная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себестоимость продукции включает:</w:t>
      </w:r>
    </w:p>
    <w:p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на производство и продажу продукции;</w:t>
      </w:r>
    </w:p>
    <w:p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технологическую себестоимость;</w:t>
      </w:r>
    </w:p>
    <w:p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коммерческую себестоимость;</w:t>
      </w:r>
    </w:p>
    <w:p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предприятия на основные и вспомогательные материалы;</w:t>
      </w:r>
    </w:p>
    <w:p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предприятия на управление производством.</w:t>
      </w:r>
    </w:p>
    <w:p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D187A" w:rsidRPr="00395EC7" w:rsidRDefault="003D187A">
      <w:pPr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Валовой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внутренний продукт в рыночных ценах представляет собой:</w:t>
      </w:r>
    </w:p>
    <w:p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стоимость товаров и услуг в рыночных ценах, созданную резидентами на экономической территории страны;</w:t>
      </w:r>
    </w:p>
    <w:p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стоимость конечного потребления продуктов и услуг;</w:t>
      </w:r>
    </w:p>
    <w:p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сумму валовой добавленной стоимости и чистых налогов на</w:t>
      </w:r>
    </w:p>
    <w:p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продукты и импорт.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Чистая</w:t>
      </w:r>
      <w:r w:rsidRPr="00395EC7">
        <w:rPr>
          <w:rFonts w:ascii="Times New Roman" w:hAnsi="Times New Roman" w:cs="Times New Roman"/>
          <w:bCs/>
          <w:iCs/>
          <w:sz w:val="28"/>
          <w:szCs w:val="28"/>
        </w:rPr>
        <w:t xml:space="preserve"> прибыль экономики представляет собой разность: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а) между валовым внутренним продуктом и суммой первичных доходов;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б) между валовой прибылью экономики и потреблением основного капитала;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в) между валовой добавленной стоимостью и суммой оплаты труда, величины потребления основного капитала, чистых налогов на производство;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г) между валовым внутренним продуктом и валовым накоплением.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Валовой</w:t>
      </w:r>
      <w:r w:rsidRPr="00395EC7">
        <w:rPr>
          <w:rFonts w:ascii="Times New Roman" w:hAnsi="Times New Roman" w:cs="Times New Roman"/>
          <w:bCs/>
          <w:iCs/>
          <w:sz w:val="28"/>
          <w:szCs w:val="28"/>
        </w:rPr>
        <w:t xml:space="preserve"> национальный располагаемый доход – валовое нацио</w:t>
      </w:r>
      <w:r w:rsidRPr="00395EC7">
        <w:rPr>
          <w:rFonts w:ascii="Times New Roman" w:hAnsi="Times New Roman" w:cs="Times New Roman"/>
          <w:sz w:val="28"/>
          <w:szCs w:val="28"/>
        </w:rPr>
        <w:t xml:space="preserve">нальное сбережение </w:t>
      </w:r>
      <w:r w:rsidRPr="00395EC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395EC7">
        <w:rPr>
          <w:rFonts w:ascii="Times New Roman" w:hAnsi="Times New Roman" w:cs="Times New Roman"/>
          <w:sz w:val="28"/>
          <w:szCs w:val="28"/>
        </w:rPr>
        <w:t>расходы на конечное потребление домашних хозяйств и государственных учреждений. Результаты этих вычислений представляют собой: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а) валовое накопление;</w:t>
      </w:r>
    </w:p>
    <w:p w:rsidR="00D35136" w:rsidRPr="00395EC7" w:rsidRDefault="00D35136" w:rsidP="003D187A">
      <w:pPr>
        <w:tabs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б) конечное потребление некоммерческих организаций, обслуживающих домашние хозяйства;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в) валовой внутренний продукт;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г) валовую прибыль экономики;</w:t>
      </w:r>
    </w:p>
    <w:p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д) сальдо текущих трансфертов, полученных из-за границы и переданных за границу.</w:t>
      </w:r>
    </w:p>
    <w:p w:rsidR="003D187A" w:rsidRPr="00395EC7" w:rsidRDefault="003D187A" w:rsidP="003D187A">
      <w:pPr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Трудовые ресурсы — одна из форм выражения понятия:</w:t>
      </w:r>
    </w:p>
    <w:p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«Финансовые ресурсы»</w:t>
      </w:r>
    </w:p>
    <w:p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«Материальные ресурсы»</w:t>
      </w:r>
    </w:p>
    <w:p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«Сырьевые ресурсы»</w:t>
      </w:r>
    </w:p>
    <w:p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«Человеческие ресурсы»</w:t>
      </w:r>
    </w:p>
    <w:p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4"/>
        <w:tblW w:w="9588" w:type="dxa"/>
        <w:jc w:val="center"/>
        <w:tblLook w:val="04A0" w:firstRow="1" w:lastRow="0" w:firstColumn="1" w:lastColumn="0" w:noHBand="0" w:noVBand="1"/>
      </w:tblPr>
      <w:tblGrid>
        <w:gridCol w:w="8383"/>
        <w:gridCol w:w="1205"/>
      </w:tblGrid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Полная первоначальная стоимость основных фондов на начало года, 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3685</w:t>
            </w:r>
          </w:p>
        </w:tc>
      </w:tr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материальных запасов, 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156</w:t>
            </w:r>
          </w:p>
        </w:tc>
      </w:tr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фондов,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647</w:t>
            </w:r>
          </w:p>
        </w:tc>
      </w:tr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износа,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54</w:t>
            </w:r>
          </w:p>
        </w:tc>
      </w:tr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</w:p>
        </w:tc>
      </w:tr>
      <w:tr w:rsidR="00395EC7" w:rsidRPr="00395EC7" w:rsidTr="003D187A">
        <w:trPr>
          <w:jc w:val="center"/>
        </w:trPr>
        <w:tc>
          <w:tcPr>
            <w:tcW w:w="8383" w:type="dxa"/>
          </w:tcPr>
          <w:p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205" w:type="dxa"/>
            <w:vAlign w:val="center"/>
          </w:tcPr>
          <w:p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:rsidR="003D187A" w:rsidRPr="00395EC7" w:rsidRDefault="003D187A" w:rsidP="003D187A">
      <w:p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:rsidR="003D187A" w:rsidRPr="00395EC7" w:rsidRDefault="003D187A" w:rsidP="003D187A">
      <w:pPr>
        <w:spacing w:after="0" w:line="223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основных фондов фирмы на конец года:</w:t>
      </w:r>
    </w:p>
    <w:p w:rsidR="003D187A" w:rsidRPr="00395EC7" w:rsidRDefault="003D187A" w:rsidP="00EA0270">
      <w:pPr>
        <w:numPr>
          <w:ilvl w:val="2"/>
          <w:numId w:val="2"/>
        </w:num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:rsidR="003D187A" w:rsidRPr="00395EC7" w:rsidRDefault="003D187A" w:rsidP="00EA0270">
      <w:pPr>
        <w:numPr>
          <w:ilvl w:val="2"/>
          <w:numId w:val="2"/>
        </w:num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:rsidR="00EA0270" w:rsidRPr="00395EC7" w:rsidRDefault="00EA0270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395EC7" w:rsidRPr="00395EC7" w:rsidTr="00EA0270">
        <w:trPr>
          <w:jc w:val="center"/>
        </w:trPr>
        <w:tc>
          <w:tcPr>
            <w:tcW w:w="6204" w:type="dxa"/>
            <w:vMerge w:val="restart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395EC7" w:rsidRPr="00395EC7" w:rsidTr="00EA0270">
        <w:trPr>
          <w:jc w:val="center"/>
        </w:trPr>
        <w:tc>
          <w:tcPr>
            <w:tcW w:w="6204" w:type="dxa"/>
            <w:vMerge/>
          </w:tcPr>
          <w:p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395EC7" w:rsidRPr="00395EC7" w:rsidTr="00EA0270">
        <w:trPr>
          <w:jc w:val="center"/>
        </w:trPr>
        <w:tc>
          <w:tcPr>
            <w:tcW w:w="6204" w:type="dxa"/>
          </w:tcPr>
          <w:p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122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453</w:t>
            </w:r>
          </w:p>
        </w:tc>
        <w:tc>
          <w:tcPr>
            <w:tcW w:w="1666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8935</w:t>
            </w:r>
          </w:p>
        </w:tc>
      </w:tr>
      <w:tr w:rsidR="00395EC7" w:rsidRPr="00395EC7" w:rsidTr="00EA0270">
        <w:trPr>
          <w:jc w:val="center"/>
        </w:trPr>
        <w:tc>
          <w:tcPr>
            <w:tcW w:w="6204" w:type="dxa"/>
          </w:tcPr>
          <w:p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66" w:type="dxa"/>
            <w:vAlign w:val="center"/>
          </w:tcPr>
          <w:p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45373</w:t>
            </w:r>
          </w:p>
        </w:tc>
      </w:tr>
    </w:tbl>
    <w:p w:rsidR="00EA0270" w:rsidRPr="00395EC7" w:rsidRDefault="00EA0270" w:rsidP="00EA027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:rsidR="00EA0270" w:rsidRPr="00395EC7" w:rsidRDefault="00EA0270" w:rsidP="00EA02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:rsidR="00EA0270" w:rsidRPr="00395EC7" w:rsidRDefault="00EA0270" w:rsidP="00EA02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:rsidR="00EA0270" w:rsidRPr="00395EC7" w:rsidRDefault="00EA0270" w:rsidP="00EA0270">
      <w:pPr>
        <w:tabs>
          <w:tab w:val="left" w:pos="851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Имеются следующие условные данные (млн долл.)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808"/>
      </w:tblGrid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5415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2688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395EC7" w:rsidRPr="00395EC7" w:rsidTr="003D187A">
        <w:trPr>
          <w:jc w:val="center"/>
        </w:trPr>
        <w:tc>
          <w:tcPr>
            <w:tcW w:w="5070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:rsidR="003D187A" w:rsidRPr="00395EC7" w:rsidRDefault="003D187A" w:rsidP="003D187A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bookmarkEnd w:id="0"/>
    <w:p w:rsidR="003D187A" w:rsidRPr="00395EC7" w:rsidRDefault="003D187A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3D187A" w:rsidRPr="00395EC7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01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1B6F38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CF06672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E4B47F0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33F04EED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3AFB7BE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CA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4A915196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E6531AA"/>
    <w:multiLevelType w:val="hybridMultilevel"/>
    <w:tmpl w:val="120E0728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BC38C6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50BA33B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8BF52E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5CEC109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8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compat>
    <w:compatSetting w:name="compatibilityMode" w:uri="http://schemas.microsoft.com/office/word" w:val="12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95EC7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A0270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EA027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0C67A-60AF-4D50-BC56-5A67B4C5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83</cp:revision>
  <dcterms:created xsi:type="dcterms:W3CDTF">2015-03-22T13:10:00Z</dcterms:created>
  <dcterms:modified xsi:type="dcterms:W3CDTF">2019-05-24T04:45:00Z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